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Ind w:w="108" w:type="dxa"/>
        <w:tblLook w:val="04A0" w:firstRow="1" w:lastRow="0" w:firstColumn="1" w:lastColumn="0" w:noHBand="0" w:noVBand="1"/>
      </w:tblPr>
      <w:tblGrid>
        <w:gridCol w:w="846"/>
        <w:gridCol w:w="6952"/>
        <w:gridCol w:w="817"/>
      </w:tblGrid>
      <w:tr w:rsidR="0005660E" w:rsidRPr="0005660E" w:rsidTr="0017248C">
        <w:trPr>
          <w:trHeight w:val="1276"/>
        </w:trPr>
        <w:tc>
          <w:tcPr>
            <w:tcW w:w="704" w:type="dxa"/>
          </w:tcPr>
          <w:p w:rsidR="0005660E" w:rsidRPr="0005660E" w:rsidRDefault="00FF6AB5" w:rsidP="004A56D2">
            <w:pPr>
              <w:jc w:val="right"/>
              <w:rPr>
                <w:rFonts w:eastAsia="ＭＳ 明朝"/>
                <w:lang w:eastAsia="ja-JP"/>
              </w:rPr>
            </w:pPr>
            <w:r w:rsidRPr="0005660E">
              <w:rPr>
                <w:rFonts w:eastAsia="ＭＳ 明朝"/>
                <w:noProof/>
                <w:lang w:eastAsia="ja-JP"/>
              </w:rPr>
              <w:drawing>
                <wp:inline distT="0" distB="0" distL="0" distR="0">
                  <wp:extent cx="400050" cy="781050"/>
                  <wp:effectExtent l="0" t="0" r="0" b="0"/>
                  <wp:docPr id="1" name="図 2" descr="r3b-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 descr="r3b-s.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00050" cy="781050"/>
                          </a:xfrm>
                          <a:prstGeom prst="rect">
                            <a:avLst/>
                          </a:prstGeom>
                          <a:noFill/>
                          <a:ln>
                            <a:noFill/>
                          </a:ln>
                        </pic:spPr>
                      </pic:pic>
                    </a:graphicData>
                  </a:graphic>
                </wp:inline>
              </w:drawing>
            </w:r>
          </w:p>
        </w:tc>
        <w:tc>
          <w:tcPr>
            <w:tcW w:w="7093" w:type="dxa"/>
          </w:tcPr>
          <w:p w:rsidR="004A56D2" w:rsidRDefault="004A56D2" w:rsidP="004A56D2">
            <w:pPr>
              <w:jc w:val="center"/>
              <w:rPr>
                <w:b/>
                <w:position w:val="6"/>
                <w:sz w:val="30"/>
              </w:rPr>
            </w:pPr>
            <w:r>
              <w:rPr>
                <w:b/>
                <w:position w:val="6"/>
                <w:sz w:val="30"/>
              </w:rPr>
              <w:t xml:space="preserve">INTERNATIONAL </w:t>
            </w:r>
            <w:r>
              <w:rPr>
                <w:rFonts w:hint="eastAsia"/>
                <w:b/>
                <w:position w:val="6"/>
                <w:sz w:val="30"/>
              </w:rPr>
              <w:t>AMATEUR RADIO</w:t>
            </w:r>
            <w:r>
              <w:rPr>
                <w:b/>
                <w:position w:val="6"/>
                <w:sz w:val="30"/>
              </w:rPr>
              <w:t xml:space="preserve"> </w:t>
            </w:r>
            <w:smartTag w:uri="urn:schemas-microsoft-com:office:smarttags" w:element="place">
              <w:r>
                <w:rPr>
                  <w:b/>
                  <w:position w:val="6"/>
                  <w:sz w:val="30"/>
                </w:rPr>
                <w:t>UNION</w:t>
              </w:r>
            </w:smartTag>
          </w:p>
          <w:p w:rsidR="004A56D2" w:rsidRDefault="004A56D2" w:rsidP="004A56D2">
            <w:pPr>
              <w:jc w:val="center"/>
              <w:rPr>
                <w:b/>
                <w:smallCaps/>
                <w:sz w:val="30"/>
              </w:rPr>
            </w:pPr>
            <w:r>
              <w:rPr>
                <w:rFonts w:hint="eastAsia"/>
                <w:b/>
                <w:position w:val="6"/>
                <w:sz w:val="30"/>
              </w:rPr>
              <w:t>REGION 3</w:t>
            </w:r>
          </w:p>
          <w:p w:rsidR="0005660E" w:rsidRPr="009C09CD" w:rsidRDefault="009C09CD" w:rsidP="00BD7620">
            <w:pPr>
              <w:jc w:val="center"/>
              <w:rPr>
                <w:rFonts w:eastAsia="ＭＳ 明朝"/>
                <w:b/>
                <w:sz w:val="30"/>
                <w:szCs w:val="30"/>
                <w:lang w:eastAsia="ja-JP"/>
              </w:rPr>
            </w:pPr>
            <w:r w:rsidRPr="009C09CD">
              <w:rPr>
                <w:rFonts w:eastAsia="ＭＳ 明朝"/>
                <w:b/>
                <w:sz w:val="30"/>
                <w:szCs w:val="30"/>
                <w:lang w:eastAsia="ja-JP"/>
              </w:rPr>
              <w:t>SIXTEENTH  REGIONAL  CONFERENCE</w:t>
            </w:r>
          </w:p>
        </w:tc>
        <w:tc>
          <w:tcPr>
            <w:tcW w:w="818" w:type="dxa"/>
          </w:tcPr>
          <w:p w:rsidR="0005660E" w:rsidRPr="0005660E" w:rsidRDefault="00FF6AB5" w:rsidP="004A56D2">
            <w:pPr>
              <w:jc w:val="right"/>
              <w:rPr>
                <w:rFonts w:eastAsia="ＭＳ 明朝"/>
                <w:lang w:eastAsia="ja-JP"/>
              </w:rPr>
            </w:pPr>
            <w:r>
              <w:rPr>
                <w:rFonts w:eastAsia="ＭＳ 明朝" w:hint="eastAsia"/>
                <w:noProof/>
                <w:lang w:eastAsia="ja-JP"/>
              </w:rPr>
              <w:drawing>
                <wp:inline distT="0" distB="0" distL="0" distR="0">
                  <wp:extent cx="352425" cy="781050"/>
                  <wp:effectExtent l="0" t="0" r="9525" b="0"/>
                  <wp:docPr id="5" name="図 5" descr="C:\Users\intl\Desktop\ORARI_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intl\Desktop\ORARI_Logo.g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52425" cy="781050"/>
                          </a:xfrm>
                          <a:prstGeom prst="rect">
                            <a:avLst/>
                          </a:prstGeom>
                          <a:noFill/>
                          <a:ln>
                            <a:noFill/>
                          </a:ln>
                        </pic:spPr>
                      </pic:pic>
                    </a:graphicData>
                  </a:graphic>
                </wp:inline>
              </w:drawing>
            </w:r>
          </w:p>
        </w:tc>
      </w:tr>
    </w:tbl>
    <w:p w:rsidR="004A56D2" w:rsidRDefault="009C09CD" w:rsidP="004A56D2">
      <w:pPr>
        <w:pStyle w:val="Head"/>
        <w:pBdr>
          <w:bottom w:val="single" w:sz="12" w:space="1" w:color="auto"/>
        </w:pBdr>
        <w:tabs>
          <w:tab w:val="clear" w:pos="6663"/>
          <w:tab w:val="right" w:pos="8647"/>
        </w:tabs>
        <w:ind w:leftChars="50" w:left="120" w:rightChars="-70" w:right="-168"/>
        <w:rPr>
          <w:sz w:val="21"/>
          <w:lang w:val="en-US"/>
        </w:rPr>
      </w:pPr>
      <w:r>
        <w:rPr>
          <w:sz w:val="21"/>
          <w:lang w:val="en-US"/>
        </w:rPr>
        <w:t>12</w:t>
      </w:r>
      <w:r w:rsidR="004A56D2">
        <w:rPr>
          <w:rFonts w:hint="eastAsia"/>
          <w:sz w:val="21"/>
          <w:lang w:val="en-US"/>
        </w:rPr>
        <w:t xml:space="preserve"> </w:t>
      </w:r>
      <w:r w:rsidR="004A56D2">
        <w:rPr>
          <w:sz w:val="21"/>
          <w:lang w:val="en-US"/>
        </w:rPr>
        <w:t>–</w:t>
      </w:r>
      <w:r w:rsidR="004A56D2">
        <w:rPr>
          <w:rFonts w:hint="eastAsia"/>
          <w:sz w:val="21"/>
          <w:lang w:val="en-US"/>
        </w:rPr>
        <w:t xml:space="preserve"> </w:t>
      </w:r>
      <w:r>
        <w:rPr>
          <w:sz w:val="21"/>
          <w:lang w:val="en-US"/>
        </w:rPr>
        <w:t>16</w:t>
      </w:r>
      <w:r w:rsidR="004A56D2">
        <w:rPr>
          <w:rFonts w:hint="eastAsia"/>
          <w:sz w:val="21"/>
          <w:lang w:val="en-US"/>
        </w:rPr>
        <w:t xml:space="preserve"> </w:t>
      </w:r>
      <w:r>
        <w:rPr>
          <w:sz w:val="21"/>
          <w:lang w:val="en-US"/>
        </w:rPr>
        <w:t>Octo</w:t>
      </w:r>
      <w:r w:rsidR="004A56D2">
        <w:rPr>
          <w:rFonts w:hint="eastAsia"/>
          <w:sz w:val="21"/>
          <w:lang w:val="en-US"/>
        </w:rPr>
        <w:t>ber 20</w:t>
      </w:r>
      <w:r w:rsidR="002F418E">
        <w:rPr>
          <w:rFonts w:hint="eastAsia"/>
          <w:sz w:val="21"/>
          <w:lang w:val="en-US"/>
        </w:rPr>
        <w:t>1</w:t>
      </w:r>
      <w:r>
        <w:rPr>
          <w:sz w:val="21"/>
          <w:lang w:val="en-US"/>
        </w:rPr>
        <w:t>5</w:t>
      </w:r>
      <w:r w:rsidR="004A56D2">
        <w:rPr>
          <w:rFonts w:hint="eastAsia"/>
          <w:sz w:val="21"/>
          <w:lang w:val="en-US"/>
        </w:rPr>
        <w:tab/>
      </w:r>
      <w:r>
        <w:rPr>
          <w:sz w:val="21"/>
          <w:lang w:val="en-US"/>
        </w:rPr>
        <w:t>Bali, Indonesia</w:t>
      </w:r>
    </w:p>
    <w:p w:rsidR="004A56D2" w:rsidRDefault="004A56D2" w:rsidP="004A56D2">
      <w:pPr>
        <w:pStyle w:val="Data"/>
        <w:rPr>
          <w:sz w:val="20"/>
          <w:lang w:val="en-US"/>
        </w:rPr>
      </w:pPr>
    </w:p>
    <w:p w:rsidR="004A56D2" w:rsidRDefault="004A56D2" w:rsidP="004A56D2">
      <w:pPr>
        <w:pStyle w:val="Head"/>
        <w:tabs>
          <w:tab w:val="clear" w:pos="6663"/>
        </w:tabs>
        <w:wordWrap w:val="0"/>
        <w:ind w:rightChars="-70" w:right="-168"/>
        <w:jc w:val="right"/>
        <w:rPr>
          <w:lang w:val="en-US"/>
        </w:rPr>
      </w:pPr>
      <w:r>
        <w:rPr>
          <w:b/>
          <w:lang w:val="en-US"/>
        </w:rPr>
        <w:t xml:space="preserve">Document </w:t>
      </w:r>
      <w:r>
        <w:rPr>
          <w:rFonts w:hint="eastAsia"/>
          <w:b/>
          <w:lang w:val="en-US"/>
        </w:rPr>
        <w:t xml:space="preserve">No. </w:t>
      </w:r>
      <w:r w:rsidR="002F418E">
        <w:rPr>
          <w:rFonts w:hint="eastAsia"/>
          <w:b/>
          <w:lang w:val="en-US"/>
        </w:rPr>
        <w:t>1</w:t>
      </w:r>
      <w:r w:rsidR="009C09CD">
        <w:rPr>
          <w:b/>
          <w:lang w:val="en-US"/>
        </w:rPr>
        <w:t>5</w:t>
      </w:r>
      <w:r>
        <w:rPr>
          <w:rFonts w:hint="eastAsia"/>
          <w:b/>
          <w:lang w:val="en-US"/>
        </w:rPr>
        <w:t>/XV</w:t>
      </w:r>
      <w:r w:rsidR="009C09CD">
        <w:rPr>
          <w:b/>
          <w:lang w:val="en-US"/>
        </w:rPr>
        <w:t>I</w:t>
      </w:r>
      <w:r>
        <w:rPr>
          <w:rFonts w:hint="eastAsia"/>
          <w:b/>
          <w:lang w:val="en-US"/>
        </w:rPr>
        <w:t>/0</w:t>
      </w:r>
      <w:r w:rsidR="00957509">
        <w:rPr>
          <w:rFonts w:hint="eastAsia"/>
          <w:b/>
          <w:lang w:val="en-US"/>
        </w:rPr>
        <w:t>3</w:t>
      </w:r>
      <w:r>
        <w:rPr>
          <w:rFonts w:hint="eastAsia"/>
          <w:b/>
          <w:lang w:val="en-US"/>
        </w:rPr>
        <w:t>0</w:t>
      </w:r>
    </w:p>
    <w:p w:rsidR="004A56D2" w:rsidRDefault="004A56D2" w:rsidP="004A56D2">
      <w:pPr>
        <w:pStyle w:val="Head"/>
        <w:tabs>
          <w:tab w:val="clear" w:pos="6663"/>
        </w:tabs>
        <w:wordWrap w:val="0"/>
        <w:ind w:rightChars="-70" w:right="-168"/>
        <w:jc w:val="right"/>
        <w:rPr>
          <w:lang w:val="en-US"/>
        </w:rPr>
      </w:pPr>
      <w:r>
        <w:rPr>
          <w:rFonts w:hint="eastAsia"/>
          <w:lang w:val="en-US"/>
        </w:rPr>
        <w:t xml:space="preserve">Agenda Item: </w:t>
      </w:r>
      <w:r w:rsidR="00957509">
        <w:rPr>
          <w:lang w:val="en-US"/>
        </w:rPr>
        <w:t>11</w:t>
      </w:r>
      <w:r w:rsidR="004D2E86">
        <w:rPr>
          <w:rFonts w:hint="eastAsia"/>
          <w:lang w:val="en-US"/>
        </w:rPr>
        <w:t>.</w:t>
      </w:r>
      <w:r w:rsidR="00957509">
        <w:rPr>
          <w:lang w:val="en-US"/>
        </w:rPr>
        <w:t>11</w:t>
      </w:r>
    </w:p>
    <w:p w:rsidR="006760FC" w:rsidRDefault="006760FC" w:rsidP="006760FC">
      <w:pPr>
        <w:rPr>
          <w:lang w:eastAsia="ja-JP"/>
        </w:rPr>
      </w:pPr>
      <w:bookmarkStart w:id="0" w:name="recibido"/>
      <w:bookmarkEnd w:id="0"/>
    </w:p>
    <w:p w:rsidR="006760FC" w:rsidRPr="006760FC" w:rsidRDefault="006760FC" w:rsidP="006760FC">
      <w:pPr>
        <w:rPr>
          <w:lang w:eastAsia="ja-JP"/>
        </w:rPr>
      </w:pPr>
    </w:p>
    <w:p w:rsidR="00BE52DD" w:rsidRDefault="00BE52DD" w:rsidP="004A56D2">
      <w:pPr>
        <w:pStyle w:val="10"/>
        <w:tabs>
          <w:tab w:val="clear" w:pos="794"/>
          <w:tab w:val="clear" w:pos="1191"/>
          <w:tab w:val="clear" w:pos="1588"/>
          <w:tab w:val="clear" w:pos="1985"/>
        </w:tabs>
        <w:jc w:val="center"/>
        <w:rPr>
          <w:b/>
          <w:bCs/>
          <w:lang w:val="en-US"/>
        </w:rPr>
      </w:pPr>
      <w:r>
        <w:rPr>
          <w:b/>
          <w:bCs/>
          <w:lang w:val="en-US"/>
        </w:rPr>
        <w:t>FUTURE SPECTRUM MANAGEMENT ARRANGEMENTS</w:t>
      </w:r>
    </w:p>
    <w:p w:rsidR="004A56D2" w:rsidRDefault="00BE52DD" w:rsidP="004A56D2">
      <w:pPr>
        <w:pStyle w:val="10"/>
        <w:tabs>
          <w:tab w:val="clear" w:pos="794"/>
          <w:tab w:val="clear" w:pos="1191"/>
          <w:tab w:val="clear" w:pos="1588"/>
          <w:tab w:val="clear" w:pos="1985"/>
        </w:tabs>
        <w:jc w:val="center"/>
        <w:rPr>
          <w:b/>
          <w:bCs/>
          <w:lang w:val="en-US"/>
        </w:rPr>
      </w:pPr>
      <w:r>
        <w:rPr>
          <w:b/>
          <w:bCs/>
          <w:lang w:val="en-US"/>
        </w:rPr>
        <w:t>IN AUSTRALIA</w:t>
      </w:r>
    </w:p>
    <w:p w:rsidR="004A56D2" w:rsidRDefault="004A56D2" w:rsidP="004A56D2">
      <w:pPr>
        <w:pStyle w:val="Subject"/>
        <w:tabs>
          <w:tab w:val="clear" w:pos="1134"/>
        </w:tabs>
        <w:ind w:left="0" w:firstLine="0"/>
        <w:rPr>
          <w:lang w:val="en-US"/>
        </w:rPr>
      </w:pPr>
    </w:p>
    <w:p w:rsidR="004A56D2" w:rsidRDefault="004A56D2" w:rsidP="004A56D2">
      <w:pPr>
        <w:rPr>
          <w:rFonts w:eastAsia="ＭＳ 明朝"/>
          <w:lang w:eastAsia="ja-JP"/>
        </w:rPr>
      </w:pPr>
    </w:p>
    <w:p w:rsidR="004D2E86" w:rsidRPr="00676C1D" w:rsidRDefault="004D2E86" w:rsidP="004A56D2">
      <w:pPr>
        <w:rPr>
          <w:rFonts w:eastAsia="ＭＳ 明朝"/>
          <w:lang w:eastAsia="ja-JP"/>
        </w:rPr>
      </w:pPr>
    </w:p>
    <w:p w:rsidR="0005660E" w:rsidRDefault="00793FF8">
      <w:r>
        <w:t>In May 2014 the Australian Government, announced a review of Australia’s spectrum policy and management framework.</w:t>
      </w:r>
      <w:r w:rsidR="004D3078">
        <w:t xml:space="preserve"> The Department of Communications (the Department), in conjunction with the Australian Communications and Media Authority (the ACMA), was tasked with undertaking the review.  </w:t>
      </w:r>
    </w:p>
    <w:p w:rsidR="00793FF8" w:rsidRPr="004D3078" w:rsidRDefault="00793FF8" w:rsidP="004D3078">
      <w:pPr>
        <w:pStyle w:val="DeptBodytext"/>
        <w:rPr>
          <w:rFonts w:ascii="Times New Roman" w:hAnsi="Times New Roman"/>
          <w:color w:val="auto"/>
        </w:rPr>
      </w:pPr>
      <w:r w:rsidRPr="004D3078">
        <w:rPr>
          <w:rFonts w:ascii="Times New Roman" w:hAnsi="Times New Roman"/>
          <w:color w:val="auto"/>
        </w:rPr>
        <w:t>Under the Terms of Reference, the review was to consider ways to:</w:t>
      </w:r>
    </w:p>
    <w:p w:rsidR="00793FF8" w:rsidRPr="004D3078" w:rsidRDefault="00793FF8" w:rsidP="004D3078">
      <w:pPr>
        <w:pStyle w:val="DeptBodytext"/>
        <w:rPr>
          <w:rFonts w:ascii="Times New Roman" w:hAnsi="Times New Roman"/>
          <w:color w:val="auto"/>
        </w:rPr>
      </w:pPr>
      <w:r w:rsidRPr="004D3078">
        <w:rPr>
          <w:rFonts w:ascii="Times New Roman" w:hAnsi="Times New Roman"/>
          <w:color w:val="auto"/>
        </w:rPr>
        <w:t xml:space="preserve">simplify complexity and impact on spectrum users </w:t>
      </w:r>
    </w:p>
    <w:p w:rsidR="00793FF8" w:rsidRPr="004D3078" w:rsidRDefault="00793FF8" w:rsidP="004D3078">
      <w:pPr>
        <w:pStyle w:val="DeptBodytext"/>
        <w:rPr>
          <w:rFonts w:ascii="Times New Roman" w:hAnsi="Times New Roman"/>
          <w:color w:val="auto"/>
        </w:rPr>
      </w:pPr>
      <w:r w:rsidRPr="004D3078">
        <w:rPr>
          <w:rFonts w:ascii="Times New Roman" w:hAnsi="Times New Roman"/>
          <w:color w:val="auto"/>
        </w:rPr>
        <w:t>improve the flexibility facilitate new and emerging services, while continuing to manage interference and providing certainty for incumbents</w:t>
      </w:r>
    </w:p>
    <w:p w:rsidR="00793FF8" w:rsidRPr="004D3078" w:rsidRDefault="00793FF8" w:rsidP="004D3078">
      <w:pPr>
        <w:pStyle w:val="DeptBodytext"/>
        <w:rPr>
          <w:rFonts w:ascii="Times New Roman" w:hAnsi="Times New Roman"/>
          <w:color w:val="auto"/>
        </w:rPr>
      </w:pPr>
      <w:r w:rsidRPr="004D3078">
        <w:rPr>
          <w:rFonts w:ascii="Times New Roman" w:hAnsi="Times New Roman"/>
          <w:color w:val="auto"/>
        </w:rPr>
        <w:t>ensure efficient allocation, ongoing use and management of spectrum users</w:t>
      </w:r>
    </w:p>
    <w:p w:rsidR="00793FF8" w:rsidRPr="004D3078" w:rsidRDefault="00793FF8" w:rsidP="004D3078">
      <w:pPr>
        <w:pStyle w:val="DeptBodytext"/>
        <w:rPr>
          <w:rFonts w:ascii="Times New Roman" w:hAnsi="Times New Roman"/>
          <w:color w:val="auto"/>
        </w:rPr>
      </w:pPr>
      <w:r w:rsidRPr="004D3078">
        <w:rPr>
          <w:rFonts w:ascii="Times New Roman" w:hAnsi="Times New Roman"/>
          <w:color w:val="auto"/>
        </w:rPr>
        <w:t>consider institutional arrangements by identifying appropriate roles for the Minister, the Australian Communications and Media Authority, the Department of Communications and others involved in spectrum management</w:t>
      </w:r>
    </w:p>
    <w:p w:rsidR="00793FF8" w:rsidRPr="004D3078" w:rsidRDefault="00793FF8" w:rsidP="004D3078">
      <w:pPr>
        <w:pStyle w:val="DeptBodytext"/>
        <w:rPr>
          <w:rFonts w:ascii="Times New Roman" w:hAnsi="Times New Roman"/>
          <w:color w:val="auto"/>
        </w:rPr>
      </w:pPr>
      <w:r w:rsidRPr="004D3078">
        <w:rPr>
          <w:rFonts w:ascii="Times New Roman" w:hAnsi="Times New Roman"/>
          <w:color w:val="auto"/>
        </w:rPr>
        <w:t xml:space="preserve">promote consistency of compliance mechanisms, technical regulation and the planning and licensing of spectrum </w:t>
      </w:r>
    </w:p>
    <w:p w:rsidR="00793FF8" w:rsidRPr="004D3078" w:rsidRDefault="00793FF8" w:rsidP="004D3078">
      <w:pPr>
        <w:pStyle w:val="DeptBodytext"/>
        <w:rPr>
          <w:rFonts w:ascii="Times New Roman" w:hAnsi="Times New Roman"/>
          <w:color w:val="auto"/>
        </w:rPr>
      </w:pPr>
      <w:r w:rsidRPr="004D3078">
        <w:rPr>
          <w:rFonts w:ascii="Times New Roman" w:hAnsi="Times New Roman"/>
          <w:color w:val="auto"/>
        </w:rPr>
        <w:t>develop public interest spectrum issues</w:t>
      </w:r>
    </w:p>
    <w:p w:rsidR="00793FF8" w:rsidRPr="004D3078" w:rsidRDefault="00793FF8" w:rsidP="004D3078">
      <w:pPr>
        <w:pStyle w:val="DeptBodytext"/>
        <w:rPr>
          <w:rFonts w:ascii="Times New Roman" w:hAnsi="Times New Roman"/>
          <w:color w:val="auto"/>
        </w:rPr>
      </w:pPr>
      <w:r w:rsidRPr="004D3078">
        <w:rPr>
          <w:rFonts w:ascii="Times New Roman" w:hAnsi="Times New Roman"/>
          <w:color w:val="auto"/>
        </w:rPr>
        <w:t>develop a whole-of-government approach to spectrum policy</w:t>
      </w:r>
    </w:p>
    <w:p w:rsidR="004D3078" w:rsidRPr="004D3078" w:rsidRDefault="00793FF8" w:rsidP="004D3078">
      <w:pPr>
        <w:pStyle w:val="DeptBodytext"/>
        <w:rPr>
          <w:rFonts w:ascii="Times New Roman" w:hAnsi="Times New Roman"/>
          <w:color w:val="auto"/>
        </w:rPr>
      </w:pPr>
      <w:r w:rsidRPr="004D3078">
        <w:rPr>
          <w:rFonts w:ascii="Times New Roman" w:hAnsi="Times New Roman"/>
          <w:color w:val="auto"/>
        </w:rPr>
        <w:t>develop valuation of spectrum that includes consideration of the broader economic and social benefits.</w:t>
      </w:r>
    </w:p>
    <w:p w:rsidR="004D3078" w:rsidRPr="004D3078" w:rsidRDefault="004D3078" w:rsidP="004D3078">
      <w:pPr>
        <w:pStyle w:val="DeptBodytext"/>
        <w:rPr>
          <w:rFonts w:ascii="Times New Roman" w:hAnsi="Times New Roman"/>
        </w:rPr>
      </w:pPr>
      <w:r w:rsidRPr="004D3078">
        <w:rPr>
          <w:rFonts w:ascii="Times New Roman" w:hAnsi="Times New Roman"/>
          <w:color w:val="auto"/>
        </w:rPr>
        <w:t>In March 2015</w:t>
      </w:r>
      <w:r w:rsidR="0098513F">
        <w:rPr>
          <w:rFonts w:ascii="Times New Roman" w:hAnsi="Times New Roman"/>
          <w:color w:val="auto"/>
        </w:rPr>
        <w:t xml:space="preserve">, </w:t>
      </w:r>
      <w:r w:rsidRPr="004D3078">
        <w:rPr>
          <w:rFonts w:ascii="Times New Roman" w:hAnsi="Times New Roman"/>
          <w:color w:val="auto"/>
        </w:rPr>
        <w:t xml:space="preserve">the </w:t>
      </w:r>
      <w:r>
        <w:rPr>
          <w:rFonts w:ascii="Times New Roman" w:hAnsi="Times New Roman"/>
          <w:color w:val="auto"/>
        </w:rPr>
        <w:t xml:space="preserve">Department of Communications </w:t>
      </w:r>
      <w:r w:rsidRPr="004D3078">
        <w:rPr>
          <w:rFonts w:ascii="Times New Roman" w:hAnsi="Times New Roman"/>
        </w:rPr>
        <w:t xml:space="preserve">recommended </w:t>
      </w:r>
      <w:r>
        <w:rPr>
          <w:rFonts w:ascii="Times New Roman" w:hAnsi="Times New Roman"/>
        </w:rPr>
        <w:t xml:space="preserve">a </w:t>
      </w:r>
      <w:r w:rsidRPr="004D3078">
        <w:rPr>
          <w:rFonts w:ascii="Times New Roman" w:hAnsi="Times New Roman"/>
        </w:rPr>
        <w:t xml:space="preserve">new framework </w:t>
      </w:r>
      <w:r w:rsidR="00F51995">
        <w:rPr>
          <w:rFonts w:ascii="Times New Roman" w:hAnsi="Times New Roman"/>
        </w:rPr>
        <w:t xml:space="preserve">that </w:t>
      </w:r>
      <w:r w:rsidRPr="004D3078">
        <w:rPr>
          <w:rFonts w:ascii="Times New Roman" w:hAnsi="Times New Roman"/>
        </w:rPr>
        <w:t>would maintain the Government’s role in ensuring t</w:t>
      </w:r>
      <w:bookmarkStart w:id="1" w:name="_GoBack"/>
      <w:bookmarkEnd w:id="1"/>
      <w:r w:rsidRPr="004D3078">
        <w:rPr>
          <w:rFonts w:ascii="Times New Roman" w:hAnsi="Times New Roman"/>
        </w:rPr>
        <w:t>he adequate provision of spectrum for key public and community services. The Government would provide policy direction and guidance to the ACMA as regulator and continue to manage Australia’s participation in international forums.</w:t>
      </w:r>
    </w:p>
    <w:p w:rsidR="0098513F" w:rsidRDefault="0098513F" w:rsidP="004D3078">
      <w:pPr>
        <w:pStyle w:val="DeptBodytext"/>
        <w:rPr>
          <w:rFonts w:ascii="Times New Roman" w:hAnsi="Times New Roman"/>
        </w:rPr>
      </w:pPr>
    </w:p>
    <w:p w:rsidR="0098513F" w:rsidRDefault="0098513F" w:rsidP="004D3078">
      <w:pPr>
        <w:pStyle w:val="DeptBodytext"/>
        <w:rPr>
          <w:rFonts w:ascii="Times New Roman" w:hAnsi="Times New Roman"/>
        </w:rPr>
      </w:pPr>
    </w:p>
    <w:p w:rsidR="004D3078" w:rsidRPr="004D3078" w:rsidRDefault="004D3078" w:rsidP="004D3078">
      <w:pPr>
        <w:pStyle w:val="DeptBodytext"/>
        <w:rPr>
          <w:rFonts w:ascii="Times New Roman" w:hAnsi="Times New Roman"/>
        </w:rPr>
      </w:pPr>
      <w:r w:rsidRPr="004D3078">
        <w:rPr>
          <w:rFonts w:ascii="Times New Roman" w:hAnsi="Times New Roman"/>
        </w:rPr>
        <w:t xml:space="preserve">If the review recommendations are agreed by the Government then the next stage of the reform process is the development of detailed legislative and regulatory measures, which would be undertaken in close consultation with stakeholders. </w:t>
      </w:r>
    </w:p>
    <w:p w:rsidR="004D3078" w:rsidRPr="004D3078" w:rsidRDefault="004D3078" w:rsidP="004D3078">
      <w:pPr>
        <w:pStyle w:val="DeptBodytext"/>
        <w:rPr>
          <w:rFonts w:ascii="Times New Roman" w:hAnsi="Times New Roman"/>
        </w:rPr>
      </w:pPr>
      <w:r w:rsidRPr="004D3078">
        <w:rPr>
          <w:rFonts w:ascii="Times New Roman" w:hAnsi="Times New Roman"/>
        </w:rPr>
        <w:t>The legislative reforms would:</w:t>
      </w:r>
    </w:p>
    <w:p w:rsidR="004D3078" w:rsidRPr="004D3078" w:rsidRDefault="004D3078" w:rsidP="004D3078">
      <w:pPr>
        <w:pStyle w:val="Deptbulletlist1"/>
        <w:rPr>
          <w:rFonts w:ascii="Times New Roman" w:hAnsi="Times New Roman"/>
        </w:rPr>
      </w:pPr>
      <w:r w:rsidRPr="004D3078">
        <w:rPr>
          <w:rFonts w:ascii="Times New Roman" w:hAnsi="Times New Roman"/>
        </w:rPr>
        <w:t>establish a single licensing system based on the parameters of the licence, including duration and renewal rights</w:t>
      </w:r>
    </w:p>
    <w:p w:rsidR="004D3078" w:rsidRPr="004D3078" w:rsidRDefault="004D3078" w:rsidP="004D3078">
      <w:pPr>
        <w:pStyle w:val="Deptbulletlist1"/>
        <w:rPr>
          <w:rFonts w:ascii="Times New Roman" w:hAnsi="Times New Roman"/>
        </w:rPr>
      </w:pPr>
      <w:r w:rsidRPr="004D3078">
        <w:rPr>
          <w:rFonts w:ascii="Times New Roman" w:hAnsi="Times New Roman"/>
        </w:rPr>
        <w:t>clarify the roles and responsibilities of the Minister and the ACMA</w:t>
      </w:r>
    </w:p>
    <w:p w:rsidR="004D3078" w:rsidRPr="004D3078" w:rsidRDefault="004D3078" w:rsidP="004D3078">
      <w:pPr>
        <w:pStyle w:val="Deptbulletlist1"/>
        <w:rPr>
          <w:rFonts w:ascii="Times New Roman" w:hAnsi="Times New Roman"/>
        </w:rPr>
      </w:pPr>
      <w:r w:rsidRPr="004D3078">
        <w:rPr>
          <w:rFonts w:ascii="Times New Roman" w:hAnsi="Times New Roman"/>
        </w:rPr>
        <w:t>provide for transparent and timely spectrum allocation and reallocation processes and methods, and allow for allocation and reallocation of encumbered spectrum</w:t>
      </w:r>
    </w:p>
    <w:p w:rsidR="004D3078" w:rsidRPr="004D3078" w:rsidRDefault="004D3078" w:rsidP="004D3078">
      <w:pPr>
        <w:pStyle w:val="Deptbulletlist1"/>
        <w:rPr>
          <w:rFonts w:ascii="Times New Roman" w:hAnsi="Times New Roman"/>
        </w:rPr>
      </w:pPr>
      <w:r w:rsidRPr="004D3078">
        <w:rPr>
          <w:rFonts w:ascii="Times New Roman" w:hAnsi="Times New Roman"/>
        </w:rPr>
        <w:t>provide more opportunities for spectrum users to participate in spectrum management, through delegation of functions and user driven dispute resolution</w:t>
      </w:r>
    </w:p>
    <w:p w:rsidR="004D3078" w:rsidRPr="004D3078" w:rsidRDefault="004D3078" w:rsidP="004D3078">
      <w:pPr>
        <w:pStyle w:val="Deptbulletlist1"/>
        <w:rPr>
          <w:rFonts w:ascii="Times New Roman" w:hAnsi="Times New Roman"/>
        </w:rPr>
      </w:pPr>
      <w:r w:rsidRPr="004D3078">
        <w:rPr>
          <w:rFonts w:ascii="Times New Roman" w:hAnsi="Times New Roman"/>
        </w:rPr>
        <w:t>manage broadcasting spectrum in the same way as other spectrum while recognising that the holders of broadcasting licences and the national broadcasters would be provided with certainty of access to spectrum to deliver broadcasting services</w:t>
      </w:r>
    </w:p>
    <w:p w:rsidR="004D3078" w:rsidRPr="004D3078" w:rsidRDefault="004D3078" w:rsidP="004D3078">
      <w:pPr>
        <w:pStyle w:val="Deptbulletlist1"/>
        <w:rPr>
          <w:rFonts w:ascii="Times New Roman" w:hAnsi="Times New Roman"/>
        </w:rPr>
      </w:pPr>
      <w:r w:rsidRPr="004D3078">
        <w:rPr>
          <w:rFonts w:ascii="Times New Roman" w:hAnsi="Times New Roman"/>
        </w:rPr>
        <w:t>streamline device supply schemes</w:t>
      </w:r>
    </w:p>
    <w:p w:rsidR="004D3078" w:rsidRPr="004D3078" w:rsidRDefault="004D3078" w:rsidP="004D3078">
      <w:pPr>
        <w:pStyle w:val="Deptbulletlist1"/>
        <w:rPr>
          <w:rFonts w:ascii="Times New Roman" w:hAnsi="Times New Roman"/>
        </w:rPr>
      </w:pPr>
      <w:r w:rsidRPr="004D3078">
        <w:rPr>
          <w:rFonts w:ascii="Times New Roman" w:hAnsi="Times New Roman"/>
        </w:rPr>
        <w:t>improve compliance and enforcement by introducing proportionate and graduated enforcement mechanisms for breaches of either the law or licence conditions</w:t>
      </w:r>
    </w:p>
    <w:p w:rsidR="004D3078" w:rsidRPr="004D3078" w:rsidRDefault="004D3078" w:rsidP="004D3078">
      <w:pPr>
        <w:pStyle w:val="Deptbulletlist1"/>
        <w:rPr>
          <w:rFonts w:ascii="Times New Roman" w:hAnsi="Times New Roman"/>
        </w:rPr>
      </w:pPr>
      <w:r w:rsidRPr="004D3078">
        <w:rPr>
          <w:rFonts w:ascii="Times New Roman" w:hAnsi="Times New Roman"/>
        </w:rPr>
        <w:t>ensure that the rights of existing licence holders are not diminished in the transition to the new framework.</w:t>
      </w:r>
    </w:p>
    <w:p w:rsidR="004D3078" w:rsidRDefault="004D3078" w:rsidP="004D3078">
      <w:pPr>
        <w:pStyle w:val="DeptBodytext"/>
        <w:rPr>
          <w:rFonts w:ascii="Times New Roman" w:hAnsi="Times New Roman"/>
        </w:rPr>
      </w:pPr>
      <w:r w:rsidRPr="004D3078">
        <w:rPr>
          <w:rFonts w:ascii="Times New Roman" w:hAnsi="Times New Roman"/>
        </w:rPr>
        <w:t>Implementation stages would commence following the passage of legislation. This would again include ongoing consultation with stakeholders and progress over a period of some years.</w:t>
      </w:r>
    </w:p>
    <w:p w:rsidR="004D3078" w:rsidRDefault="004D3078" w:rsidP="004D3078">
      <w:pPr>
        <w:pStyle w:val="DeptBodytext"/>
        <w:rPr>
          <w:rFonts w:ascii="Times New Roman" w:hAnsi="Times New Roman"/>
        </w:rPr>
      </w:pPr>
      <w:r>
        <w:rPr>
          <w:rFonts w:ascii="Times New Roman" w:hAnsi="Times New Roman"/>
        </w:rPr>
        <w:t>Under the current spectrum arrangements, the Amateur Service is licensed under an Apparatus Licence</w:t>
      </w:r>
      <w:r w:rsidR="00577A89">
        <w:rPr>
          <w:rFonts w:ascii="Times New Roman" w:hAnsi="Times New Roman"/>
        </w:rPr>
        <w:t xml:space="preserve"> where three levels of licences are issued depending on the level of operator qualifications.  The proposed new system would see amateurs issued with a</w:t>
      </w:r>
      <w:r w:rsidR="00F51995">
        <w:rPr>
          <w:rFonts w:ascii="Times New Roman" w:hAnsi="Times New Roman"/>
        </w:rPr>
        <w:t xml:space="preserve"> </w:t>
      </w:r>
      <w:r w:rsidR="00577A89">
        <w:rPr>
          <w:rFonts w:ascii="Times New Roman" w:hAnsi="Times New Roman"/>
        </w:rPr>
        <w:t>licence with defined spectrum and operational parameters; parameter based licence conditions.</w:t>
      </w:r>
    </w:p>
    <w:p w:rsidR="00577A89" w:rsidRDefault="00577A89" w:rsidP="004D3078">
      <w:pPr>
        <w:pStyle w:val="DeptBodytext"/>
        <w:rPr>
          <w:rFonts w:ascii="Times New Roman" w:hAnsi="Times New Roman"/>
        </w:rPr>
      </w:pPr>
      <w:r>
        <w:rPr>
          <w:rFonts w:ascii="Times New Roman" w:hAnsi="Times New Roman"/>
        </w:rPr>
        <w:t xml:space="preserve">The WIA, as an industry stakeholder, made submissions to the review that outlined the nature and the wide use of spectrum </w:t>
      </w:r>
      <w:r w:rsidR="00F51995">
        <w:rPr>
          <w:rFonts w:ascii="Times New Roman" w:hAnsi="Times New Roman"/>
        </w:rPr>
        <w:t xml:space="preserve">by amateurs </w:t>
      </w:r>
      <w:r>
        <w:rPr>
          <w:rFonts w:ascii="Times New Roman" w:hAnsi="Times New Roman"/>
        </w:rPr>
        <w:t>for experimentation, inter-communication both within Australia and internationally, as well as its relevance to social benefits to the community.</w:t>
      </w:r>
    </w:p>
    <w:p w:rsidR="00577A89" w:rsidRDefault="00577A89" w:rsidP="004D3078">
      <w:pPr>
        <w:pStyle w:val="DeptBodytext"/>
        <w:rPr>
          <w:rFonts w:ascii="Times New Roman" w:hAnsi="Times New Roman"/>
        </w:rPr>
      </w:pPr>
      <w:r>
        <w:rPr>
          <w:rFonts w:ascii="Times New Roman" w:hAnsi="Times New Roman"/>
        </w:rPr>
        <w:t>One of the recommendations</w:t>
      </w:r>
      <w:r w:rsidR="00F51995">
        <w:rPr>
          <w:rFonts w:ascii="Times New Roman" w:hAnsi="Times New Roman"/>
        </w:rPr>
        <w:t xml:space="preserve"> proposes opportunities for the introduction of “private band managers” to undertake spectrum management on behalf of the Government.  The WIA has expressed in principle interest in undertaking the management of amateur spectrum in Australia</w:t>
      </w:r>
      <w:r w:rsidR="00DE7AA7">
        <w:rPr>
          <w:rFonts w:ascii="Times New Roman" w:hAnsi="Times New Roman"/>
        </w:rPr>
        <w:t xml:space="preserve"> and has had preliminary meetings with the ACMA</w:t>
      </w:r>
      <w:r w:rsidR="00F51995">
        <w:rPr>
          <w:rFonts w:ascii="Times New Roman" w:hAnsi="Times New Roman"/>
        </w:rPr>
        <w:t>.</w:t>
      </w:r>
      <w:r w:rsidR="00DE7AA7">
        <w:rPr>
          <w:rFonts w:ascii="Times New Roman" w:hAnsi="Times New Roman"/>
        </w:rPr>
        <w:t xml:space="preserve"> </w:t>
      </w:r>
      <w:r w:rsidR="00F51995">
        <w:rPr>
          <w:rFonts w:ascii="Times New Roman" w:hAnsi="Times New Roman"/>
        </w:rPr>
        <w:t xml:space="preserve"> </w:t>
      </w:r>
      <w:r w:rsidR="0082007D">
        <w:rPr>
          <w:rFonts w:ascii="Times New Roman" w:hAnsi="Times New Roman"/>
        </w:rPr>
        <w:t>As the detail of the legislation becomes clearer further discussions will occur.</w:t>
      </w:r>
      <w:r w:rsidR="00F51995">
        <w:rPr>
          <w:rFonts w:ascii="Times New Roman" w:hAnsi="Times New Roman"/>
        </w:rPr>
        <w:t xml:space="preserve">  These discussions </w:t>
      </w:r>
      <w:r w:rsidR="002863B4">
        <w:rPr>
          <w:rFonts w:ascii="Times New Roman" w:hAnsi="Times New Roman"/>
        </w:rPr>
        <w:t>and the transition to the new arrangements will occour</w:t>
      </w:r>
      <w:r w:rsidR="00F51995">
        <w:rPr>
          <w:rFonts w:ascii="Times New Roman" w:hAnsi="Times New Roman"/>
        </w:rPr>
        <w:t xml:space="preserve"> over the next couple of years.</w:t>
      </w:r>
    </w:p>
    <w:p w:rsidR="00F51995" w:rsidRDefault="00F51995" w:rsidP="004D3078">
      <w:pPr>
        <w:pStyle w:val="DeptBodytext"/>
        <w:rPr>
          <w:rFonts w:ascii="Times New Roman" w:hAnsi="Times New Roman"/>
        </w:rPr>
      </w:pPr>
      <w:r>
        <w:rPr>
          <w:rFonts w:ascii="Times New Roman" w:hAnsi="Times New Roman"/>
        </w:rPr>
        <w:t>International amateurs visiting Australia can operate while they are in Australia for a period of up to 90 days without the need for an Australia licence.  These arrangements are not likely to be affected by the proposed arrangements.</w:t>
      </w:r>
    </w:p>
    <w:p w:rsidR="0098513F" w:rsidRDefault="0098513F" w:rsidP="0098513F">
      <w:pPr>
        <w:rPr>
          <w:rFonts w:eastAsia="ＭＳ 明朝"/>
          <w:b/>
          <w:lang w:eastAsia="ja-JP"/>
        </w:rPr>
      </w:pPr>
      <w:r>
        <w:rPr>
          <w:rFonts w:eastAsia="ＭＳ 明朝"/>
          <w:b/>
          <w:lang w:eastAsia="ja-JP"/>
        </w:rPr>
        <w:lastRenderedPageBreak/>
        <w:t>Recommendation</w:t>
      </w:r>
    </w:p>
    <w:p w:rsidR="0098513F" w:rsidRDefault="0098513F" w:rsidP="0098513F">
      <w:pPr>
        <w:rPr>
          <w:rFonts w:eastAsia="ＭＳ 明朝"/>
          <w:b/>
          <w:lang w:eastAsia="ja-JP"/>
        </w:rPr>
      </w:pPr>
    </w:p>
    <w:p w:rsidR="0098513F" w:rsidRPr="006607D0" w:rsidRDefault="0098513F" w:rsidP="0098513F">
      <w:pPr>
        <w:rPr>
          <w:lang w:eastAsia="ja-JP"/>
        </w:rPr>
      </w:pPr>
      <w:r w:rsidRPr="00A91BD2">
        <w:rPr>
          <w:rFonts w:eastAsia="ＭＳ 明朝"/>
          <w:b/>
          <w:lang w:eastAsia="ja-JP"/>
        </w:rPr>
        <w:t>That member Societies note the</w:t>
      </w:r>
      <w:r>
        <w:rPr>
          <w:rFonts w:eastAsia="ＭＳ 明朝"/>
          <w:b/>
          <w:lang w:eastAsia="ja-JP"/>
        </w:rPr>
        <w:t xml:space="preserve"> contents of this paper.</w:t>
      </w:r>
    </w:p>
    <w:p w:rsidR="00F51995" w:rsidRDefault="00F51995" w:rsidP="004D3078">
      <w:pPr>
        <w:pStyle w:val="DeptBodytext"/>
        <w:rPr>
          <w:rFonts w:ascii="Times New Roman" w:hAnsi="Times New Roman"/>
        </w:rPr>
      </w:pPr>
    </w:p>
    <w:p w:rsidR="00F51995" w:rsidRDefault="00F51995" w:rsidP="004D3078">
      <w:pPr>
        <w:pStyle w:val="DeptBodytext"/>
        <w:rPr>
          <w:rFonts w:ascii="Times New Roman" w:hAnsi="Times New Roman"/>
        </w:rPr>
      </w:pPr>
    </w:p>
    <w:p w:rsidR="00F51995" w:rsidRPr="004D3078" w:rsidRDefault="00F51995" w:rsidP="004D3078">
      <w:pPr>
        <w:pStyle w:val="DeptBodytext"/>
        <w:rPr>
          <w:rFonts w:ascii="Times New Roman" w:hAnsi="Times New Roman"/>
        </w:rPr>
      </w:pPr>
    </w:p>
    <w:p w:rsidR="00793FF8" w:rsidRPr="004D3078" w:rsidRDefault="004D3078" w:rsidP="004D3078">
      <w:pPr>
        <w:pStyle w:val="DeptBodytext"/>
        <w:rPr>
          <w:rFonts w:ascii="Times New Roman" w:hAnsi="Times New Roman"/>
        </w:rPr>
      </w:pPr>
      <w:r w:rsidRPr="004D3078">
        <w:rPr>
          <w:rFonts w:ascii="Times New Roman" w:hAnsi="Times New Roman"/>
        </w:rPr>
        <w:br/>
      </w:r>
    </w:p>
    <w:p w:rsidR="00793FF8" w:rsidRPr="004D3078" w:rsidRDefault="00793FF8" w:rsidP="004D3078">
      <w:pPr>
        <w:pStyle w:val="DeptBodytext"/>
        <w:rPr>
          <w:rFonts w:ascii="Times New Roman" w:hAnsi="Times New Roman"/>
        </w:rPr>
      </w:pPr>
    </w:p>
    <w:p w:rsidR="00793FF8" w:rsidRPr="004D3078" w:rsidRDefault="00793FF8">
      <w:pPr>
        <w:rPr>
          <w:rFonts w:eastAsia="ＭＳ 明朝"/>
          <w:lang w:eastAsia="ja-JP"/>
        </w:rPr>
      </w:pPr>
    </w:p>
    <w:p w:rsidR="0005660E" w:rsidRDefault="0005660E">
      <w:pPr>
        <w:rPr>
          <w:rFonts w:eastAsia="ＭＳ 明朝"/>
          <w:lang w:eastAsia="ja-JP"/>
        </w:rPr>
      </w:pPr>
    </w:p>
    <w:p w:rsidR="0005660E" w:rsidRDefault="0005660E">
      <w:pPr>
        <w:rPr>
          <w:rFonts w:eastAsia="ＭＳ 明朝"/>
          <w:lang w:eastAsia="ja-JP"/>
        </w:rPr>
      </w:pPr>
    </w:p>
    <w:p w:rsidR="003C2A5B" w:rsidRDefault="003C2A5B">
      <w:pPr>
        <w:rPr>
          <w:rFonts w:eastAsia="ＭＳ 明朝"/>
          <w:lang w:eastAsia="ja-JP"/>
        </w:rPr>
      </w:pPr>
    </w:p>
    <w:p w:rsidR="00156D1D" w:rsidRDefault="00156D1D">
      <w:pPr>
        <w:rPr>
          <w:rFonts w:eastAsia="ＭＳ 明朝"/>
          <w:lang w:eastAsia="ja-JP"/>
        </w:rPr>
      </w:pPr>
    </w:p>
    <w:p w:rsidR="00156D1D" w:rsidRDefault="00156D1D">
      <w:pPr>
        <w:rPr>
          <w:rFonts w:eastAsia="ＭＳ 明朝"/>
          <w:lang w:eastAsia="ja-JP"/>
        </w:rPr>
      </w:pPr>
      <w:r>
        <w:rPr>
          <w:rFonts w:eastAsia="ＭＳ 明朝"/>
          <w:lang w:eastAsia="ja-JP"/>
        </w:rPr>
        <w:br w:type="page"/>
      </w:r>
    </w:p>
    <w:p w:rsidR="00156D1D" w:rsidRDefault="00156D1D">
      <w:pPr>
        <w:rPr>
          <w:rFonts w:eastAsia="ＭＳ 明朝"/>
          <w:lang w:eastAsia="ja-JP"/>
        </w:rPr>
      </w:pPr>
    </w:p>
    <w:p w:rsidR="00156D1D" w:rsidRDefault="00156D1D">
      <w:pPr>
        <w:rPr>
          <w:rFonts w:eastAsia="ＭＳ 明朝"/>
          <w:lang w:eastAsia="ja-JP"/>
        </w:rPr>
      </w:pPr>
    </w:p>
    <w:p w:rsidR="00156D1D" w:rsidRDefault="00156D1D">
      <w:pPr>
        <w:rPr>
          <w:rFonts w:eastAsia="ＭＳ 明朝"/>
          <w:lang w:eastAsia="ja-JP"/>
        </w:rPr>
      </w:pPr>
    </w:p>
    <w:p w:rsidR="00156D1D" w:rsidRDefault="00156D1D">
      <w:pPr>
        <w:rPr>
          <w:rFonts w:eastAsia="ＭＳ 明朝"/>
          <w:lang w:eastAsia="ja-JP"/>
        </w:rPr>
      </w:pPr>
    </w:p>
    <w:p w:rsidR="00726191" w:rsidRDefault="00726191" w:rsidP="00726191">
      <w:pPr>
        <w:pStyle w:val="Table"/>
        <w:keepNext w:val="0"/>
        <w:tabs>
          <w:tab w:val="clear" w:pos="794"/>
          <w:tab w:val="clear" w:pos="1191"/>
          <w:tab w:val="clear" w:pos="1588"/>
          <w:tab w:val="clear" w:pos="1985"/>
        </w:tabs>
        <w:spacing w:before="120" w:after="0"/>
        <w:rPr>
          <w:caps w:val="0"/>
          <w:lang w:val="en-US"/>
        </w:rPr>
      </w:pPr>
      <w:r>
        <w:rPr>
          <w:caps w:val="0"/>
          <w:lang w:val="en-US"/>
        </w:rPr>
        <w:t>____________________</w:t>
      </w:r>
    </w:p>
    <w:p w:rsidR="00156D1D" w:rsidRPr="00156D1D" w:rsidRDefault="00156D1D">
      <w:pPr>
        <w:rPr>
          <w:rFonts w:eastAsia="ＭＳ 明朝"/>
          <w:lang w:eastAsia="ja-JP"/>
        </w:rPr>
      </w:pPr>
    </w:p>
    <w:sectPr w:rsidR="00156D1D" w:rsidRPr="00156D1D" w:rsidSect="00A80565">
      <w:headerReference w:type="default" r:id="rId10"/>
      <w:pgSz w:w="11909" w:h="16834" w:code="9"/>
      <w:pgMar w:top="1418" w:right="1701" w:bottom="1701"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26DC0" w:rsidRDefault="00426DC0">
      <w:r>
        <w:separator/>
      </w:r>
    </w:p>
  </w:endnote>
  <w:endnote w:type="continuationSeparator" w:id="0">
    <w:p w:rsidR="00426DC0" w:rsidRDefault="00426D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GulimChe">
    <w:panose1 w:val="020B0609000101010101"/>
    <w:charset w:val="81"/>
    <w:family w:val="modern"/>
    <w:pitch w:val="fixed"/>
    <w:sig w:usb0="B00002AF" w:usb1="69D77CFB" w:usb2="00000030" w:usb3="00000000" w:csb0="0008009F" w:csb1="00000000"/>
  </w:font>
  <w:font w:name="Calibri">
    <w:panose1 w:val="020F0502020204030204"/>
    <w:charset w:val="00"/>
    <w:family w:val="swiss"/>
    <w:pitch w:val="variable"/>
    <w:sig w:usb0="E00002FF" w:usb1="4000ACFF" w:usb2="00000001"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BatangChe">
    <w:altName w:val="Arial Unicode MS"/>
    <w:panose1 w:val="02030609000101010101"/>
    <w:charset w:val="81"/>
    <w:family w:val="modern"/>
    <w:pitch w:val="fixed"/>
    <w:sig w:usb0="B00002AF" w:usb1="69D77CFB" w:usb2="00000030" w:usb3="00000000" w:csb0="0008009F" w:csb1="00000000"/>
  </w:font>
  <w:font w:name="Book Antiqua">
    <w:panose1 w:val="0204060205030503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26DC0" w:rsidRDefault="00426DC0">
      <w:r>
        <w:separator/>
      </w:r>
    </w:p>
  </w:footnote>
  <w:footnote w:type="continuationSeparator" w:id="0">
    <w:p w:rsidR="00426DC0" w:rsidRDefault="00426DC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6C1D" w:rsidRPr="00726191" w:rsidRDefault="00676C1D" w:rsidP="00726191">
    <w:pPr>
      <w:pStyle w:val="a7"/>
      <w:jc w:val="center"/>
      <w:rPr>
        <w:sz w:val="20"/>
        <w:szCs w:val="20"/>
      </w:rPr>
    </w:pPr>
    <w:r w:rsidRPr="00726191">
      <w:rPr>
        <w:sz w:val="20"/>
        <w:szCs w:val="20"/>
      </w:rPr>
      <w:t xml:space="preserve">- </w:t>
    </w:r>
    <w:r w:rsidR="00232A27" w:rsidRPr="00726191">
      <w:rPr>
        <w:rStyle w:val="a5"/>
        <w:sz w:val="20"/>
        <w:szCs w:val="20"/>
      </w:rPr>
      <w:fldChar w:fldCharType="begin"/>
    </w:r>
    <w:r w:rsidRPr="00726191">
      <w:rPr>
        <w:rStyle w:val="a5"/>
        <w:sz w:val="20"/>
        <w:szCs w:val="20"/>
      </w:rPr>
      <w:instrText xml:space="preserve"> PAGE </w:instrText>
    </w:r>
    <w:r w:rsidR="00232A27" w:rsidRPr="00726191">
      <w:rPr>
        <w:rStyle w:val="a5"/>
        <w:sz w:val="20"/>
        <w:szCs w:val="20"/>
      </w:rPr>
      <w:fldChar w:fldCharType="separate"/>
    </w:r>
    <w:r w:rsidR="00957509">
      <w:rPr>
        <w:rStyle w:val="a5"/>
        <w:noProof/>
        <w:sz w:val="20"/>
        <w:szCs w:val="20"/>
      </w:rPr>
      <w:t>3</w:t>
    </w:r>
    <w:r w:rsidR="00232A27" w:rsidRPr="00726191">
      <w:rPr>
        <w:rStyle w:val="a5"/>
        <w:sz w:val="20"/>
        <w:szCs w:val="20"/>
      </w:rPr>
      <w:fldChar w:fldCharType="end"/>
    </w:r>
    <w:r w:rsidRPr="00726191">
      <w:rPr>
        <w:rStyle w:val="a5"/>
        <w:sz w:val="20"/>
        <w:szCs w:val="20"/>
      </w:rPr>
      <w:t xml:space="preserve"> </w:t>
    </w:r>
    <w:r w:rsidRPr="00726191">
      <w:rPr>
        <w:rStyle w:val="a5"/>
        <w:rFonts w:hint="eastAsia"/>
        <w:sz w:val="20"/>
        <w:szCs w:val="20"/>
      </w:rPr>
      <w:t>-</w:t>
    </w:r>
    <w:r w:rsidRPr="00726191">
      <w:rPr>
        <w:rStyle w:val="a5"/>
        <w:sz w:val="20"/>
        <w:szCs w:val="20"/>
      </w:rPr>
      <w:br/>
      <w:t>Document</w:t>
    </w:r>
    <w:r w:rsidRPr="00726191">
      <w:rPr>
        <w:rStyle w:val="a5"/>
        <w:rFonts w:hint="eastAsia"/>
        <w:sz w:val="20"/>
        <w:szCs w:val="20"/>
      </w:rPr>
      <w:t xml:space="preserve"> No.</w:t>
    </w:r>
    <w:r w:rsidRPr="00726191">
      <w:rPr>
        <w:rStyle w:val="a5"/>
        <w:sz w:val="20"/>
        <w:szCs w:val="20"/>
      </w:rPr>
      <w:t xml:space="preserve"> </w:t>
    </w:r>
    <w:r w:rsidR="000529A1">
      <w:rPr>
        <w:rStyle w:val="a5"/>
        <w:rFonts w:eastAsia="ＭＳ 明朝" w:hint="eastAsia"/>
        <w:sz w:val="20"/>
        <w:szCs w:val="20"/>
        <w:lang w:eastAsia="ja-JP"/>
      </w:rPr>
      <w:t>1</w:t>
    </w:r>
    <w:r w:rsidR="00847A46">
      <w:rPr>
        <w:rStyle w:val="a5"/>
        <w:rFonts w:eastAsia="ＭＳ 明朝"/>
        <w:sz w:val="20"/>
        <w:szCs w:val="20"/>
        <w:lang w:eastAsia="ja-JP"/>
      </w:rPr>
      <w:t>5</w:t>
    </w:r>
    <w:r w:rsidRPr="00726191">
      <w:rPr>
        <w:rStyle w:val="a5"/>
        <w:rFonts w:hint="eastAsia"/>
        <w:sz w:val="20"/>
        <w:szCs w:val="20"/>
      </w:rPr>
      <w:t>/XV</w:t>
    </w:r>
    <w:r w:rsidR="00847A46">
      <w:rPr>
        <w:rStyle w:val="a5"/>
        <w:sz w:val="20"/>
        <w:szCs w:val="20"/>
      </w:rPr>
      <w:t>I</w:t>
    </w:r>
    <w:r w:rsidRPr="00726191">
      <w:rPr>
        <w:rStyle w:val="a5"/>
        <w:rFonts w:hint="eastAsia"/>
        <w:sz w:val="20"/>
        <w:szCs w:val="20"/>
      </w:rPr>
      <w:t>/0</w:t>
    </w:r>
    <w:r w:rsidR="00957509">
      <w:rPr>
        <w:rStyle w:val="a5"/>
        <w:sz w:val="20"/>
        <w:szCs w:val="20"/>
      </w:rPr>
      <w:t>3</w:t>
    </w:r>
    <w:r w:rsidRPr="00726191">
      <w:rPr>
        <w:rStyle w:val="a5"/>
        <w:rFonts w:hint="eastAsia"/>
        <w:sz w:val="20"/>
        <w:szCs w:val="20"/>
      </w:rPr>
      <w:t>0</w:t>
    </w:r>
  </w:p>
  <w:p w:rsidR="00676C1D" w:rsidRDefault="00676C1D">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5E695D"/>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160"/>
        </w:tabs>
        <w:ind w:left="1160" w:hanging="360"/>
      </w:pPr>
      <w:rPr>
        <w:rFonts w:ascii="Symbol" w:hAnsi="Symbol"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1" w15:restartNumberingAfterBreak="0">
    <w:nsid w:val="1E0848EE"/>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2" w15:restartNumberingAfterBreak="0">
    <w:nsid w:val="215A25C1"/>
    <w:multiLevelType w:val="hybridMultilevel"/>
    <w:tmpl w:val="AE3E2132"/>
    <w:lvl w:ilvl="0" w:tplc="E7C4E6B0">
      <w:start w:val="1"/>
      <w:numFmt w:val="bullet"/>
      <w:lvlText w:val=""/>
      <w:lvlJc w:val="left"/>
      <w:pPr>
        <w:ind w:left="786"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21D34771"/>
    <w:multiLevelType w:val="hybridMultilevel"/>
    <w:tmpl w:val="764E0C76"/>
    <w:lvl w:ilvl="0" w:tplc="81F65682">
      <w:start w:val="1"/>
      <w:numFmt w:val="bullet"/>
      <w:lvlText w:val=""/>
      <w:lvlJc w:val="left"/>
      <w:pPr>
        <w:tabs>
          <w:tab w:val="num" w:pos="720"/>
        </w:tabs>
        <w:ind w:left="720" w:hanging="360"/>
      </w:pPr>
      <w:rPr>
        <w:rFonts w:ascii="Symbol" w:hAnsi="Symbol" w:hint="default"/>
      </w:rPr>
    </w:lvl>
    <w:lvl w:ilvl="1" w:tplc="722A45E8">
      <w:start w:val="2"/>
      <w:numFmt w:val="bullet"/>
      <w:suff w:val="space"/>
      <w:lvlText w:val="-"/>
      <w:lvlJc w:val="left"/>
      <w:pPr>
        <w:ind w:left="1340" w:hanging="180"/>
      </w:pPr>
      <w:rPr>
        <w:rFonts w:ascii="Times New Roman" w:eastAsia="GulimChe" w:hAnsi="Times New Roman" w:cs="Times New Roman"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4" w15:restartNumberingAfterBreak="0">
    <w:nsid w:val="25001BAB"/>
    <w:multiLevelType w:val="hybridMultilevel"/>
    <w:tmpl w:val="53F8C2D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5" w15:restartNumberingAfterBreak="0">
    <w:nsid w:val="2D317FAF"/>
    <w:multiLevelType w:val="multilevel"/>
    <w:tmpl w:val="AE580FCE"/>
    <w:numStyleLink w:val="Bulletlist"/>
  </w:abstractNum>
  <w:abstractNum w:abstractNumId="6" w15:restartNumberingAfterBreak="0">
    <w:nsid w:val="30641696"/>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7" w15:restartNumberingAfterBreak="0">
    <w:nsid w:val="36EE16D3"/>
    <w:multiLevelType w:val="hybridMultilevel"/>
    <w:tmpl w:val="764E0C76"/>
    <w:lvl w:ilvl="0" w:tplc="04090001">
      <w:start w:val="1"/>
      <w:numFmt w:val="bullet"/>
      <w:lvlText w:val=""/>
      <w:lvlJc w:val="left"/>
      <w:pPr>
        <w:tabs>
          <w:tab w:val="num" w:pos="360"/>
        </w:tabs>
        <w:ind w:left="360" w:hanging="360"/>
      </w:pPr>
      <w:rPr>
        <w:rFonts w:ascii="Symbol" w:hAnsi="Symbol" w:hint="default"/>
      </w:rPr>
    </w:lvl>
    <w:lvl w:ilvl="1" w:tplc="722A45E8">
      <w:start w:val="2"/>
      <w:numFmt w:val="bullet"/>
      <w:suff w:val="space"/>
      <w:lvlText w:val="-"/>
      <w:lvlJc w:val="left"/>
      <w:pPr>
        <w:ind w:left="980" w:hanging="180"/>
      </w:pPr>
      <w:rPr>
        <w:rFonts w:ascii="Times New Roman" w:eastAsia="GulimChe" w:hAnsi="Times New Roman" w:cs="Times New Roman"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8" w15:restartNumberingAfterBreak="0">
    <w:nsid w:val="36F050AC"/>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9" w15:restartNumberingAfterBreak="0">
    <w:nsid w:val="5714650E"/>
    <w:multiLevelType w:val="multilevel"/>
    <w:tmpl w:val="AE580FCE"/>
    <w:styleLink w:val="Bulletlist"/>
    <w:lvl w:ilvl="0">
      <w:start w:val="1"/>
      <w:numFmt w:val="bullet"/>
      <w:lvlText w:val="&gt;"/>
      <w:lvlJc w:val="left"/>
      <w:pPr>
        <w:tabs>
          <w:tab w:val="num" w:pos="0"/>
        </w:tabs>
        <w:ind w:left="360" w:hanging="360"/>
      </w:pPr>
      <w:rPr>
        <w:rFonts w:ascii="Calibri" w:hAnsi="Calibri" w:hint="default"/>
        <w:color w:val="00647E"/>
      </w:rPr>
    </w:lvl>
    <w:lvl w:ilvl="1">
      <w:start w:val="1"/>
      <w:numFmt w:val="lowerLetter"/>
      <w:lvlText w:val="%2)"/>
      <w:lvlJc w:val="left"/>
      <w:pPr>
        <w:tabs>
          <w:tab w:val="num" w:pos="0"/>
        </w:tabs>
        <w:ind w:left="720" w:hanging="360"/>
      </w:pPr>
      <w:rPr>
        <w:rFonts w:hint="default"/>
      </w:rPr>
    </w:lvl>
    <w:lvl w:ilvl="2">
      <w:start w:val="1"/>
      <w:numFmt w:val="lowerRoman"/>
      <w:lvlText w:val="%3)"/>
      <w:lvlJc w:val="left"/>
      <w:pPr>
        <w:tabs>
          <w:tab w:val="num" w:pos="0"/>
        </w:tabs>
        <w:ind w:left="1080" w:hanging="360"/>
      </w:pPr>
      <w:rPr>
        <w:rFonts w:hint="default"/>
      </w:rPr>
    </w:lvl>
    <w:lvl w:ilvl="3">
      <w:start w:val="1"/>
      <w:numFmt w:val="decimal"/>
      <w:lvlText w:val="(%4)"/>
      <w:lvlJc w:val="left"/>
      <w:pPr>
        <w:tabs>
          <w:tab w:val="num" w:pos="0"/>
        </w:tabs>
        <w:ind w:left="1440" w:hanging="360"/>
      </w:pPr>
      <w:rPr>
        <w:rFonts w:hint="default"/>
      </w:rPr>
    </w:lvl>
    <w:lvl w:ilvl="4">
      <w:start w:val="1"/>
      <w:numFmt w:val="lowerLetter"/>
      <w:lvlText w:val="(%5)"/>
      <w:lvlJc w:val="left"/>
      <w:pPr>
        <w:tabs>
          <w:tab w:val="num" w:pos="0"/>
        </w:tabs>
        <w:ind w:left="1800" w:hanging="360"/>
      </w:pPr>
      <w:rPr>
        <w:rFonts w:hint="default"/>
      </w:rPr>
    </w:lvl>
    <w:lvl w:ilvl="5">
      <w:start w:val="1"/>
      <w:numFmt w:val="lowerRoman"/>
      <w:lvlText w:val="(%6)"/>
      <w:lvlJc w:val="left"/>
      <w:pPr>
        <w:tabs>
          <w:tab w:val="num" w:pos="0"/>
        </w:tabs>
        <w:ind w:left="2160" w:hanging="360"/>
      </w:pPr>
      <w:rPr>
        <w:rFonts w:hint="default"/>
      </w:rPr>
    </w:lvl>
    <w:lvl w:ilvl="6">
      <w:start w:val="1"/>
      <w:numFmt w:val="decimal"/>
      <w:lvlText w:val="%7."/>
      <w:lvlJc w:val="left"/>
      <w:pPr>
        <w:tabs>
          <w:tab w:val="num" w:pos="0"/>
        </w:tabs>
        <w:ind w:left="2520" w:hanging="360"/>
      </w:pPr>
      <w:rPr>
        <w:rFonts w:hint="default"/>
      </w:rPr>
    </w:lvl>
    <w:lvl w:ilvl="7">
      <w:start w:val="1"/>
      <w:numFmt w:val="lowerLetter"/>
      <w:lvlText w:val="%8."/>
      <w:lvlJc w:val="left"/>
      <w:pPr>
        <w:tabs>
          <w:tab w:val="num" w:pos="0"/>
        </w:tabs>
        <w:ind w:left="2880" w:hanging="360"/>
      </w:pPr>
      <w:rPr>
        <w:rFonts w:hint="default"/>
      </w:rPr>
    </w:lvl>
    <w:lvl w:ilvl="8">
      <w:start w:val="1"/>
      <w:numFmt w:val="lowerRoman"/>
      <w:lvlText w:val="%9."/>
      <w:lvlJc w:val="left"/>
      <w:pPr>
        <w:tabs>
          <w:tab w:val="num" w:pos="0"/>
        </w:tabs>
        <w:ind w:left="3240" w:hanging="360"/>
      </w:pPr>
      <w:rPr>
        <w:rFonts w:hint="default"/>
      </w:rPr>
    </w:lvl>
  </w:abstractNum>
  <w:abstractNum w:abstractNumId="10" w15:restartNumberingAfterBreak="0">
    <w:nsid w:val="61CF0159"/>
    <w:multiLevelType w:val="hybridMultilevel"/>
    <w:tmpl w:val="DD9C34A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718A1258"/>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num w:numId="1">
    <w:abstractNumId w:val="7"/>
  </w:num>
  <w:num w:numId="2">
    <w:abstractNumId w:val="4"/>
  </w:num>
  <w:num w:numId="3">
    <w:abstractNumId w:val="3"/>
  </w:num>
  <w:num w:numId="4">
    <w:abstractNumId w:val="11"/>
  </w:num>
  <w:num w:numId="5">
    <w:abstractNumId w:val="6"/>
  </w:num>
  <w:num w:numId="6">
    <w:abstractNumId w:val="8"/>
  </w:num>
  <w:num w:numId="7">
    <w:abstractNumId w:val="1"/>
  </w:num>
  <w:num w:numId="8">
    <w:abstractNumId w:val="0"/>
  </w:num>
  <w:num w:numId="9">
    <w:abstractNumId w:val="10"/>
  </w:num>
  <w:num w:numId="10">
    <w:abstractNumId w:val="2"/>
  </w:num>
  <w:num w:numId="11">
    <w:abstractNumId w:val="9"/>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applyBreakingRules/>
    <w:useFELayout/>
    <w:compatSetting w:name="compatibilityMode" w:uri="http://schemas.microsoft.com/office/word" w:val="12"/>
  </w:compat>
  <w:rsids>
    <w:rsidRoot w:val="00EB23AD"/>
    <w:rsid w:val="0003595B"/>
    <w:rsid w:val="00035EFB"/>
    <w:rsid w:val="000529A1"/>
    <w:rsid w:val="0005660E"/>
    <w:rsid w:val="000713CF"/>
    <w:rsid w:val="000F5540"/>
    <w:rsid w:val="00113A81"/>
    <w:rsid w:val="001539DD"/>
    <w:rsid w:val="00156D1D"/>
    <w:rsid w:val="0017248C"/>
    <w:rsid w:val="00172C79"/>
    <w:rsid w:val="00172D1D"/>
    <w:rsid w:val="0019586B"/>
    <w:rsid w:val="00196568"/>
    <w:rsid w:val="001A2F16"/>
    <w:rsid w:val="001B18C2"/>
    <w:rsid w:val="001C619C"/>
    <w:rsid w:val="001D5D7E"/>
    <w:rsid w:val="00232A27"/>
    <w:rsid w:val="00234848"/>
    <w:rsid w:val="00254A1B"/>
    <w:rsid w:val="0028454D"/>
    <w:rsid w:val="002863B4"/>
    <w:rsid w:val="00291350"/>
    <w:rsid w:val="00291C9E"/>
    <w:rsid w:val="002926D4"/>
    <w:rsid w:val="002C07DA"/>
    <w:rsid w:val="002C7EA9"/>
    <w:rsid w:val="002F418E"/>
    <w:rsid w:val="0034216C"/>
    <w:rsid w:val="003809C7"/>
    <w:rsid w:val="003B5373"/>
    <w:rsid w:val="003B6263"/>
    <w:rsid w:val="003C2A5B"/>
    <w:rsid w:val="003C64A7"/>
    <w:rsid w:val="003D3FDA"/>
    <w:rsid w:val="00420822"/>
    <w:rsid w:val="00426DC0"/>
    <w:rsid w:val="0045458F"/>
    <w:rsid w:val="004633B4"/>
    <w:rsid w:val="00480B03"/>
    <w:rsid w:val="004A56D2"/>
    <w:rsid w:val="004B3553"/>
    <w:rsid w:val="004D2E86"/>
    <w:rsid w:val="004D3078"/>
    <w:rsid w:val="00526E07"/>
    <w:rsid w:val="00530E8C"/>
    <w:rsid w:val="00545933"/>
    <w:rsid w:val="00577A89"/>
    <w:rsid w:val="00587875"/>
    <w:rsid w:val="00607E2B"/>
    <w:rsid w:val="00623CE1"/>
    <w:rsid w:val="0063062B"/>
    <w:rsid w:val="00637BE5"/>
    <w:rsid w:val="00667229"/>
    <w:rsid w:val="006760FC"/>
    <w:rsid w:val="00676C1D"/>
    <w:rsid w:val="00682BE5"/>
    <w:rsid w:val="00690FED"/>
    <w:rsid w:val="006939A5"/>
    <w:rsid w:val="006A7376"/>
    <w:rsid w:val="00712451"/>
    <w:rsid w:val="00726191"/>
    <w:rsid w:val="00732F08"/>
    <w:rsid w:val="0074190C"/>
    <w:rsid w:val="00762576"/>
    <w:rsid w:val="00791060"/>
    <w:rsid w:val="00793FF8"/>
    <w:rsid w:val="007A7662"/>
    <w:rsid w:val="007B5626"/>
    <w:rsid w:val="0080570B"/>
    <w:rsid w:val="008148E1"/>
    <w:rsid w:val="0082007D"/>
    <w:rsid w:val="00847A46"/>
    <w:rsid w:val="00875312"/>
    <w:rsid w:val="008D0E09"/>
    <w:rsid w:val="008E4412"/>
    <w:rsid w:val="00957509"/>
    <w:rsid w:val="0097693B"/>
    <w:rsid w:val="0098513F"/>
    <w:rsid w:val="00993355"/>
    <w:rsid w:val="009A4A6D"/>
    <w:rsid w:val="009C09CD"/>
    <w:rsid w:val="009E0413"/>
    <w:rsid w:val="00A13265"/>
    <w:rsid w:val="00A71136"/>
    <w:rsid w:val="00A80565"/>
    <w:rsid w:val="00AA474C"/>
    <w:rsid w:val="00AD7E5F"/>
    <w:rsid w:val="00B01AA1"/>
    <w:rsid w:val="00B30C81"/>
    <w:rsid w:val="00BD7620"/>
    <w:rsid w:val="00BE52DD"/>
    <w:rsid w:val="00BF71AC"/>
    <w:rsid w:val="00C15633"/>
    <w:rsid w:val="00C15799"/>
    <w:rsid w:val="00C357AD"/>
    <w:rsid w:val="00C6069C"/>
    <w:rsid w:val="00CD5431"/>
    <w:rsid w:val="00CF2491"/>
    <w:rsid w:val="00D57772"/>
    <w:rsid w:val="00D75A4D"/>
    <w:rsid w:val="00D8478B"/>
    <w:rsid w:val="00D86151"/>
    <w:rsid w:val="00DA7595"/>
    <w:rsid w:val="00DB0A68"/>
    <w:rsid w:val="00DC43A3"/>
    <w:rsid w:val="00DC6954"/>
    <w:rsid w:val="00DE3816"/>
    <w:rsid w:val="00DE7AA7"/>
    <w:rsid w:val="00E0124F"/>
    <w:rsid w:val="00E4680F"/>
    <w:rsid w:val="00E674D3"/>
    <w:rsid w:val="00E70FD0"/>
    <w:rsid w:val="00E74909"/>
    <w:rsid w:val="00EB1638"/>
    <w:rsid w:val="00EB23AD"/>
    <w:rsid w:val="00EF7F4A"/>
    <w:rsid w:val="00F34944"/>
    <w:rsid w:val="00F51995"/>
    <w:rsid w:val="00F84067"/>
    <w:rsid w:val="00FF6AB5"/>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2049">
      <v:textbox inset="5.85pt,.7pt,5.85pt,.7pt"/>
    </o:shapedefaults>
    <o:shapelayout v:ext="edit">
      <o:idmap v:ext="edit" data="1"/>
    </o:shapelayout>
  </w:shapeDefaults>
  <w:decimalSymbol w:val="."/>
  <w:listSeparator w:val=","/>
  <w15:docId w15:val="{97A13A6A-FBC1-46D4-95CC-7F1C6B3F46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Batang" w:hAnsi="Times New Roman"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7595"/>
    <w:rPr>
      <w:rFonts w:eastAsia="BatangChe"/>
      <w:sz w:val="24"/>
      <w:szCs w:val="24"/>
      <w:lang w:eastAsia="en-US"/>
    </w:rPr>
  </w:style>
  <w:style w:type="paragraph" w:styleId="1">
    <w:name w:val="heading 1"/>
    <w:basedOn w:val="a"/>
    <w:next w:val="a"/>
    <w:qFormat/>
    <w:rsid w:val="00DA7595"/>
    <w:pPr>
      <w:keepNext/>
      <w:jc w:val="center"/>
      <w:outlineLvl w:val="0"/>
    </w:pPr>
    <w:rPr>
      <w:b/>
      <w:bCs/>
      <w:u w:val="single"/>
    </w:rPr>
  </w:style>
  <w:style w:type="paragraph" w:styleId="8">
    <w:name w:val="heading 8"/>
    <w:basedOn w:val="a"/>
    <w:next w:val="a"/>
    <w:qFormat/>
    <w:rsid w:val="00DA7595"/>
    <w:pPr>
      <w:keepNext/>
      <w:widowControl w:val="0"/>
      <w:wordWrap w:val="0"/>
      <w:jc w:val="both"/>
      <w:outlineLvl w:val="7"/>
    </w:pPr>
    <w:rPr>
      <w:b/>
      <w:bCs/>
      <w:kern w:val="2"/>
      <w:sz w:val="20"/>
      <w:szCs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DA7595"/>
    <w:pPr>
      <w:tabs>
        <w:tab w:val="center" w:pos="4320"/>
        <w:tab w:val="right" w:pos="8640"/>
      </w:tabs>
    </w:pPr>
  </w:style>
  <w:style w:type="paragraph" w:customStyle="1" w:styleId="a4">
    <w:name w:val="표"/>
    <w:basedOn w:val="a"/>
    <w:next w:val="a"/>
    <w:autoRedefine/>
    <w:rsid w:val="00DA7595"/>
    <w:pPr>
      <w:widowControl w:val="0"/>
      <w:wordWrap w:val="0"/>
      <w:autoSpaceDE w:val="0"/>
      <w:autoSpaceDN w:val="0"/>
      <w:jc w:val="both"/>
    </w:pPr>
    <w:rPr>
      <w:rFonts w:ascii="Book Antiqua" w:eastAsia="GulimChe" w:hAnsi="Book Antiqua"/>
      <w:b/>
      <w:bCs/>
      <w:kern w:val="2"/>
      <w:sz w:val="28"/>
      <w:lang w:eastAsia="ko-KR"/>
    </w:rPr>
  </w:style>
  <w:style w:type="character" w:styleId="a5">
    <w:name w:val="page number"/>
    <w:basedOn w:val="a0"/>
    <w:rsid w:val="00DA7595"/>
  </w:style>
  <w:style w:type="paragraph" w:styleId="a6">
    <w:name w:val="Normal Indent"/>
    <w:basedOn w:val="a"/>
    <w:rsid w:val="00DA7595"/>
    <w:pPr>
      <w:widowControl w:val="0"/>
      <w:wordWrap w:val="0"/>
      <w:ind w:left="851"/>
      <w:jc w:val="both"/>
    </w:pPr>
    <w:rPr>
      <w:kern w:val="2"/>
      <w:sz w:val="20"/>
      <w:szCs w:val="20"/>
      <w:lang w:eastAsia="ko-KR"/>
    </w:rPr>
  </w:style>
  <w:style w:type="paragraph" w:customStyle="1" w:styleId="Note">
    <w:name w:val="Note"/>
    <w:basedOn w:val="a"/>
    <w:rsid w:val="00DA7595"/>
    <w:pPr>
      <w:tabs>
        <w:tab w:val="left" w:pos="284"/>
        <w:tab w:val="left" w:pos="1134"/>
        <w:tab w:val="left" w:pos="1871"/>
        <w:tab w:val="left" w:pos="2268"/>
      </w:tabs>
      <w:spacing w:before="160"/>
      <w:jc w:val="both"/>
    </w:pPr>
    <w:rPr>
      <w:noProof/>
      <w:sz w:val="20"/>
      <w:szCs w:val="20"/>
      <w:lang w:eastAsia="ko-KR"/>
    </w:rPr>
  </w:style>
  <w:style w:type="paragraph" w:styleId="a7">
    <w:name w:val="header"/>
    <w:basedOn w:val="a"/>
    <w:rsid w:val="0080570B"/>
    <w:pPr>
      <w:tabs>
        <w:tab w:val="center" w:pos="4320"/>
        <w:tab w:val="right" w:pos="8640"/>
      </w:tabs>
    </w:pPr>
  </w:style>
  <w:style w:type="paragraph" w:customStyle="1" w:styleId="Equation">
    <w:name w:val="Equation"/>
    <w:basedOn w:val="a"/>
    <w:rsid w:val="00AD7E5F"/>
    <w:pPr>
      <w:tabs>
        <w:tab w:val="left" w:pos="794"/>
        <w:tab w:val="center" w:pos="4820"/>
        <w:tab w:val="right" w:pos="9639"/>
      </w:tabs>
      <w:overflowPunct w:val="0"/>
      <w:autoSpaceDE w:val="0"/>
      <w:autoSpaceDN w:val="0"/>
      <w:adjustRightInd w:val="0"/>
      <w:spacing w:beforeLines="50" w:line="240" w:lineRule="atLeast"/>
      <w:textAlignment w:val="baseline"/>
    </w:pPr>
    <w:rPr>
      <w:rFonts w:eastAsia="ＭＳ 明朝"/>
      <w:szCs w:val="22"/>
      <w:lang w:val="en-GB"/>
    </w:rPr>
  </w:style>
  <w:style w:type="paragraph" w:styleId="a8">
    <w:name w:val="Balloon Text"/>
    <w:basedOn w:val="a"/>
    <w:link w:val="a9"/>
    <w:rsid w:val="009E0413"/>
    <w:rPr>
      <w:rFonts w:ascii="Arial" w:eastAsia="ＭＳ ゴシック" w:hAnsi="Arial"/>
      <w:sz w:val="18"/>
      <w:szCs w:val="18"/>
    </w:rPr>
  </w:style>
  <w:style w:type="character" w:customStyle="1" w:styleId="a9">
    <w:name w:val="吹き出し (文字)"/>
    <w:link w:val="a8"/>
    <w:rsid w:val="009E0413"/>
    <w:rPr>
      <w:rFonts w:ascii="Arial" w:eastAsia="ＭＳ ゴシック" w:hAnsi="Arial" w:cs="Times New Roman"/>
      <w:sz w:val="18"/>
      <w:szCs w:val="18"/>
      <w:lang w:eastAsia="en-US"/>
    </w:rPr>
  </w:style>
  <w:style w:type="table" w:styleId="aa">
    <w:name w:val="Table Grid"/>
    <w:basedOn w:val="a1"/>
    <w:rsid w:val="0005660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10">
    <w:name w:val="index 1"/>
    <w:basedOn w:val="a"/>
    <w:next w:val="a"/>
    <w:rsid w:val="004A56D2"/>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paragraph" w:customStyle="1" w:styleId="Head">
    <w:name w:val="Head"/>
    <w:basedOn w:val="a"/>
    <w:rsid w:val="004A56D2"/>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rsid w:val="004A56D2"/>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rsid w:val="004A56D2"/>
  </w:style>
  <w:style w:type="paragraph" w:customStyle="1" w:styleId="Table">
    <w:name w:val="Table_#"/>
    <w:basedOn w:val="a"/>
    <w:next w:val="a"/>
    <w:rsid w:val="00726191"/>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ＭＳ 明朝"/>
      <w:caps/>
      <w:szCs w:val="20"/>
      <w:lang w:val="en-GB" w:eastAsia="ja-JP"/>
    </w:rPr>
  </w:style>
  <w:style w:type="paragraph" w:customStyle="1" w:styleId="DeptBodytext">
    <w:name w:val="Dept Body text"/>
    <w:basedOn w:val="a"/>
    <w:autoRedefine/>
    <w:qFormat/>
    <w:rsid w:val="004D3078"/>
    <w:pPr>
      <w:spacing w:before="120" w:after="240"/>
      <w:ind w:left="66"/>
    </w:pPr>
    <w:rPr>
      <w:rFonts w:ascii="Calibri" w:eastAsia="Cambria" w:hAnsi="Calibri"/>
      <w:color w:val="3B3C3B"/>
      <w:lang w:val="en-AU"/>
    </w:rPr>
  </w:style>
  <w:style w:type="numbering" w:customStyle="1" w:styleId="Bulletlist">
    <w:name w:val="Bullet list"/>
    <w:rsid w:val="004D3078"/>
    <w:pPr>
      <w:numPr>
        <w:numId w:val="11"/>
      </w:numPr>
    </w:pPr>
  </w:style>
  <w:style w:type="paragraph" w:customStyle="1" w:styleId="Deptbulletlist1">
    <w:name w:val="Dept bullet list 1"/>
    <w:basedOn w:val="a"/>
    <w:qFormat/>
    <w:rsid w:val="004D3078"/>
    <w:pPr>
      <w:spacing w:after="80"/>
    </w:pPr>
    <w:rPr>
      <w:rFonts w:ascii="Calibri" w:eastAsia="Cambria" w:hAnsi="Calibri"/>
      <w:color w:val="3B3C3B"/>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gif"/></Relationships>
</file>

<file path=word/_rels/settings.xml.rels><?xml version="1.0" encoding="UTF-8" standalone="yes"?>
<Relationships xmlns="http://schemas.openxmlformats.org/package/2006/relationships"><Relationship Id="rId1" Type="http://schemas.openxmlformats.org/officeDocument/2006/relationships/attachedTemplate" Target="file:///I:\IARU\R3%20Conference%20Bali%20Oct%202015\R3%20Conf%202015_DocumentTemplate.dotx"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7B6B5C5-5E90-4475-8D54-75279B1F72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R3 Conf 2015_DocumentTemplate.dotx</Template>
  <TotalTime>53</TotalTime>
  <Pages>1</Pages>
  <Words>699</Words>
  <Characters>3985</Characters>
  <Application>Microsoft Office Word</Application>
  <DocSecurity>0</DocSecurity>
  <Lines>33</Lines>
  <Paragraphs>9</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Toshiba</Company>
  <LinksUpToDate>false</LinksUpToDate>
  <CharactersWithSpaces>4675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Radio Room</dc:creator>
  <cp:lastModifiedBy>Ken Yamamoto</cp:lastModifiedBy>
  <cp:revision>9</cp:revision>
  <cp:lastPrinted>2009-02-17T09:56:00Z</cp:lastPrinted>
  <dcterms:created xsi:type="dcterms:W3CDTF">2015-08-20T00:02:00Z</dcterms:created>
  <dcterms:modified xsi:type="dcterms:W3CDTF">2015-08-25T05:20:00Z</dcterms:modified>
</cp:coreProperties>
</file>